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09D2D8" w14:textId="77777777" w:rsidR="0033105D" w:rsidRPr="0033105D" w:rsidRDefault="0033105D" w:rsidP="0033105D">
      <w:pPr>
        <w:jc w:val="both"/>
        <w:rPr>
          <w:rFonts w:ascii="Arial" w:hAnsi="Arial" w:cs="Arial"/>
        </w:rPr>
      </w:pPr>
      <w:r w:rsidRPr="0033105D">
        <w:rPr>
          <w:rFonts w:ascii="Arial" w:hAnsi="Arial" w:cs="Arial"/>
        </w:rPr>
        <w:t xml:space="preserve">Resolução Conjunta SEDEST/SEFA/IAT 19 - 19 de </w:t>
      </w:r>
      <w:proofErr w:type="gramStart"/>
      <w:r w:rsidRPr="0033105D">
        <w:rPr>
          <w:rFonts w:ascii="Arial" w:hAnsi="Arial" w:cs="Arial"/>
        </w:rPr>
        <w:t>Novembro</w:t>
      </w:r>
      <w:proofErr w:type="gramEnd"/>
      <w:r w:rsidRPr="0033105D">
        <w:rPr>
          <w:rFonts w:ascii="Arial" w:hAnsi="Arial" w:cs="Arial"/>
        </w:rPr>
        <w:t xml:space="preserve"> de 2024</w:t>
      </w:r>
    </w:p>
    <w:p w14:paraId="48EA7D70" w14:textId="77777777" w:rsidR="0033105D" w:rsidRPr="0033105D" w:rsidRDefault="0033105D" w:rsidP="0033105D">
      <w:pPr>
        <w:jc w:val="both"/>
        <w:rPr>
          <w:rFonts w:ascii="Arial" w:hAnsi="Arial" w:cs="Arial"/>
        </w:rPr>
      </w:pPr>
      <w:r w:rsidRPr="0033105D">
        <w:rPr>
          <w:rFonts w:ascii="Arial" w:hAnsi="Arial" w:cs="Arial"/>
        </w:rPr>
        <w:t xml:space="preserve">Publicado no Diário Oficial nº. 11792 de 22 de </w:t>
      </w:r>
      <w:proofErr w:type="gramStart"/>
      <w:r w:rsidRPr="0033105D">
        <w:rPr>
          <w:rFonts w:ascii="Arial" w:hAnsi="Arial" w:cs="Arial"/>
        </w:rPr>
        <w:t>Novembro</w:t>
      </w:r>
      <w:proofErr w:type="gramEnd"/>
      <w:r w:rsidRPr="0033105D">
        <w:rPr>
          <w:rFonts w:ascii="Arial" w:hAnsi="Arial" w:cs="Arial"/>
        </w:rPr>
        <w:t xml:space="preserve"> de 2024</w:t>
      </w:r>
    </w:p>
    <w:p w14:paraId="2CBFCB49" w14:textId="752A81CE" w:rsidR="0033105D" w:rsidRPr="0033105D" w:rsidRDefault="0033105D" w:rsidP="0033105D">
      <w:pPr>
        <w:jc w:val="both"/>
        <w:rPr>
          <w:rFonts w:ascii="Arial" w:hAnsi="Arial" w:cs="Arial"/>
        </w:rPr>
      </w:pPr>
      <w:r w:rsidRPr="0033105D">
        <w:rPr>
          <w:rFonts w:ascii="Arial" w:hAnsi="Arial" w:cs="Arial"/>
          <w:b/>
          <w:bCs/>
        </w:rPr>
        <w:t>Súmula:</w:t>
      </w:r>
      <w:r w:rsidRPr="0033105D">
        <w:rPr>
          <w:rFonts w:ascii="Arial" w:hAnsi="Arial" w:cs="Arial"/>
        </w:rPr>
        <w:t xml:space="preserve"> Estabelece os procedimentos exigidos para habilitação e apresentação de Proposta de Aplicação para obtenção de recursos do Fundo Estadual de Recursos Hídricos – FHRI/PR, com o propósito de financiar estudos, ações, planos, programas, projetos, obras, serviços e aquisição de equipamentos no âmbito do Sistema Estadual de Gerenciamento de Recursos Hídricos – SEGRH/PR.</w:t>
      </w:r>
    </w:p>
    <w:p w14:paraId="29A691D0" w14:textId="1B6FA07C" w:rsidR="0033105D" w:rsidRPr="0033105D" w:rsidRDefault="0033105D" w:rsidP="0033105D">
      <w:pPr>
        <w:jc w:val="both"/>
        <w:rPr>
          <w:rFonts w:ascii="Arial" w:hAnsi="Arial" w:cs="Arial"/>
        </w:rPr>
      </w:pPr>
      <w:r w:rsidRPr="0033105D">
        <w:rPr>
          <w:rFonts w:ascii="Arial" w:hAnsi="Arial" w:cs="Arial"/>
        </w:rPr>
        <w:t xml:space="preserve">O </w:t>
      </w:r>
      <w:r w:rsidRPr="0033105D">
        <w:rPr>
          <w:rFonts w:ascii="Arial" w:hAnsi="Arial" w:cs="Arial"/>
          <w:b/>
          <w:bCs/>
        </w:rPr>
        <w:t>Secretário de Estado do Desenvolvimento Sustentável</w:t>
      </w:r>
      <w:r w:rsidRPr="0033105D">
        <w:rPr>
          <w:rFonts w:ascii="Arial" w:hAnsi="Arial" w:cs="Arial"/>
        </w:rPr>
        <w:t>, nomeado pelo Decreto nº 5.709, de 6 de maio de 2024, no uso das atribuições que lhe são conferidas pela Lei nº 21.352, de 1º de janeiro de 2023;</w:t>
      </w:r>
    </w:p>
    <w:p w14:paraId="5CFADE9E" w14:textId="72427CB0" w:rsidR="0033105D" w:rsidRPr="0033105D" w:rsidRDefault="0033105D" w:rsidP="0033105D">
      <w:pPr>
        <w:jc w:val="both"/>
        <w:rPr>
          <w:rFonts w:ascii="Arial" w:hAnsi="Arial" w:cs="Arial"/>
        </w:rPr>
      </w:pPr>
      <w:r w:rsidRPr="0033105D">
        <w:rPr>
          <w:rFonts w:ascii="Arial" w:hAnsi="Arial" w:cs="Arial"/>
        </w:rPr>
        <w:t xml:space="preserve">O </w:t>
      </w:r>
      <w:r w:rsidRPr="0033105D">
        <w:rPr>
          <w:rFonts w:ascii="Arial" w:hAnsi="Arial" w:cs="Arial"/>
          <w:b/>
          <w:bCs/>
        </w:rPr>
        <w:t>Secretário de Estado da Fazenda</w:t>
      </w:r>
      <w:r w:rsidRPr="0033105D">
        <w:rPr>
          <w:rFonts w:ascii="Arial" w:hAnsi="Arial" w:cs="Arial"/>
        </w:rPr>
        <w:t>, nomeado pelo Decreto nº 5.716, de 6 de maio de 2024, no uso de suas atribuições que lhe são conferidas pelo art. 4º, da Lei nº 21.352, de 1º de janeiro de 2023;</w:t>
      </w:r>
    </w:p>
    <w:p w14:paraId="3D79C0DE" w14:textId="1EDE4428" w:rsidR="0033105D" w:rsidRPr="0033105D" w:rsidRDefault="0033105D" w:rsidP="0033105D">
      <w:pPr>
        <w:jc w:val="both"/>
        <w:rPr>
          <w:rFonts w:ascii="Arial" w:hAnsi="Arial" w:cs="Arial"/>
        </w:rPr>
      </w:pPr>
      <w:r w:rsidRPr="0033105D">
        <w:rPr>
          <w:rFonts w:ascii="Arial" w:hAnsi="Arial" w:cs="Arial"/>
        </w:rPr>
        <w:t xml:space="preserve">O </w:t>
      </w:r>
      <w:r w:rsidRPr="0033105D">
        <w:rPr>
          <w:rFonts w:ascii="Arial" w:hAnsi="Arial" w:cs="Arial"/>
          <w:b/>
          <w:bCs/>
        </w:rPr>
        <w:t>Diretor-Presidente do Instituto Água e Terra,</w:t>
      </w:r>
      <w:r w:rsidRPr="0033105D">
        <w:rPr>
          <w:rFonts w:ascii="Arial" w:hAnsi="Arial" w:cs="Arial"/>
        </w:rPr>
        <w:t xml:space="preserve"> nomeado pelo Decreto nº 5.711, de 6 de maio de 2024, no uso de suas atribuições que lhe são conferidas pela Lei nº 20.070, de 18 de dezembro de 2019; e</w:t>
      </w:r>
    </w:p>
    <w:p w14:paraId="38D2A45A" w14:textId="2586A472" w:rsidR="0033105D" w:rsidRPr="0033105D" w:rsidRDefault="0033105D" w:rsidP="0033105D">
      <w:pPr>
        <w:jc w:val="both"/>
        <w:rPr>
          <w:rFonts w:ascii="Arial" w:hAnsi="Arial" w:cs="Arial"/>
        </w:rPr>
      </w:pPr>
      <w:r w:rsidRPr="0033105D">
        <w:rPr>
          <w:rFonts w:ascii="Arial" w:hAnsi="Arial" w:cs="Arial"/>
          <w:b/>
          <w:bCs/>
        </w:rPr>
        <w:t>Considerando</w:t>
      </w:r>
      <w:r w:rsidRPr="0033105D">
        <w:rPr>
          <w:rFonts w:ascii="Arial" w:hAnsi="Arial" w:cs="Arial"/>
        </w:rPr>
        <w:t xml:space="preserve"> o disposto no art. 22, §2°da Política Estadual de Recursos Hídricos – Lei n°12.726/1999, que cria o Fundo Estadual de Recursos Hídricos, de natureza e individuação contábeis, destinado à implantação e ao suporte financeiros de custeio e de investimentos do Sistema Estadual de Gerenciamento de Recursos Hídricos – SEGRH/PR;</w:t>
      </w:r>
    </w:p>
    <w:p w14:paraId="2B63488A" w14:textId="63191436" w:rsidR="0033105D" w:rsidRPr="0033105D" w:rsidRDefault="0033105D" w:rsidP="0033105D">
      <w:pPr>
        <w:jc w:val="both"/>
        <w:rPr>
          <w:rFonts w:ascii="Arial" w:hAnsi="Arial" w:cs="Arial"/>
        </w:rPr>
      </w:pPr>
      <w:r w:rsidRPr="0033105D">
        <w:rPr>
          <w:rFonts w:ascii="Arial" w:hAnsi="Arial" w:cs="Arial"/>
          <w:b/>
          <w:bCs/>
        </w:rPr>
        <w:t>Considerando</w:t>
      </w:r>
      <w:r w:rsidRPr="0033105D">
        <w:rPr>
          <w:rFonts w:ascii="Arial" w:hAnsi="Arial" w:cs="Arial"/>
        </w:rPr>
        <w:t xml:space="preserve"> o art. 33 da Política Estadual de Recursos Hídricos – Lei nº 12.726/1999, integram o Sistema Estadual de Gerenciamento de Recursos Hídricos o Conselho Estadual de Recursos Hídricos - CERH - órgão colegiado de caráter deliberativo e normativo; a Secretaria de Estado do Desenvolvimento Sustentável – órgão coordenador central; o Instituto Água e Terra - órgão executivo gestor; os Comitês de Bacia Hidrográfica – como órgãos regionais e setoriais deliberativos e normativos de Bacia Hidrográfica do Estado; e as Gerências de Bacia Hidrográfica – como unidades de apoio técnico e administrativo aos Comitês de Bacia Hidrográfica;</w:t>
      </w:r>
    </w:p>
    <w:p w14:paraId="652CF77B" w14:textId="4C31932A" w:rsidR="0033105D" w:rsidRPr="0033105D" w:rsidRDefault="0033105D" w:rsidP="0033105D">
      <w:pPr>
        <w:jc w:val="both"/>
        <w:rPr>
          <w:rFonts w:ascii="Arial" w:hAnsi="Arial" w:cs="Arial"/>
        </w:rPr>
      </w:pPr>
      <w:r w:rsidRPr="0033105D">
        <w:rPr>
          <w:rFonts w:ascii="Arial" w:hAnsi="Arial" w:cs="Arial"/>
          <w:b/>
          <w:bCs/>
        </w:rPr>
        <w:t xml:space="preserve">Considerando </w:t>
      </w:r>
      <w:r w:rsidRPr="0033105D">
        <w:rPr>
          <w:rFonts w:ascii="Arial" w:hAnsi="Arial" w:cs="Arial"/>
        </w:rPr>
        <w:t>o art. 22 da Política Estadual de Recursos Hídricos – Lei nº 12.726/1999, o Fundo Estadual de Recursos Hídricos tem como gestor o Instituto Água e Terra – IAT; como Agente Financeiro uma instituição oficial definida pelo Chefe do Poder Executivo Estadual; e no exercício da supervisão financeira do órgão gestor e do agente financeiro, a Secretaria de Estado da Fazenda e a Secretaria de Estado do Desenvolvimento Sustentável;</w:t>
      </w:r>
    </w:p>
    <w:p w14:paraId="69E33C71" w14:textId="39A75AAF" w:rsidR="0033105D" w:rsidRPr="0033105D" w:rsidRDefault="0033105D" w:rsidP="0033105D">
      <w:pPr>
        <w:jc w:val="both"/>
        <w:rPr>
          <w:rFonts w:ascii="Arial" w:hAnsi="Arial" w:cs="Arial"/>
        </w:rPr>
      </w:pPr>
      <w:r w:rsidRPr="0033105D">
        <w:rPr>
          <w:rFonts w:ascii="Arial" w:hAnsi="Arial" w:cs="Arial"/>
          <w:b/>
          <w:bCs/>
        </w:rPr>
        <w:t>Considerando</w:t>
      </w:r>
      <w:r w:rsidRPr="0033105D">
        <w:rPr>
          <w:rFonts w:ascii="Arial" w:hAnsi="Arial" w:cs="Arial"/>
        </w:rPr>
        <w:t xml:space="preserve"> o art. 6°, §3° do Regulamento do Fundo Estadual de Recursos Hídricos, instituído pelo Decreto nº 9.132/2010, que dispõe que a Secretaria de Estado do Desenvolvimento Sustentável e a Secretaria de Estado da Fazenda, em articulação </w:t>
      </w:r>
      <w:r w:rsidRPr="0033105D">
        <w:rPr>
          <w:rFonts w:ascii="Arial" w:hAnsi="Arial" w:cs="Arial"/>
        </w:rPr>
        <w:lastRenderedPageBreak/>
        <w:t xml:space="preserve">com o Instituto Água e Terra, instituirão Resolução conjunta </w:t>
      </w:r>
      <w:proofErr w:type="gramStart"/>
      <w:r w:rsidRPr="0033105D">
        <w:rPr>
          <w:rFonts w:ascii="Arial" w:hAnsi="Arial" w:cs="Arial"/>
        </w:rPr>
        <w:t>para  análise</w:t>
      </w:r>
      <w:proofErr w:type="gramEnd"/>
      <w:r w:rsidRPr="0033105D">
        <w:rPr>
          <w:rFonts w:ascii="Arial" w:hAnsi="Arial" w:cs="Arial"/>
        </w:rPr>
        <w:t xml:space="preserve"> técnica e financeira das solicitações de recursos do FHRI/PR;</w:t>
      </w:r>
    </w:p>
    <w:p w14:paraId="7E3EF74C" w14:textId="7A9E0CC7" w:rsidR="0033105D" w:rsidRPr="0033105D" w:rsidRDefault="0033105D" w:rsidP="0033105D">
      <w:pPr>
        <w:jc w:val="both"/>
        <w:rPr>
          <w:rFonts w:ascii="Arial" w:hAnsi="Arial" w:cs="Arial"/>
        </w:rPr>
      </w:pPr>
      <w:r w:rsidRPr="0033105D">
        <w:rPr>
          <w:rFonts w:ascii="Arial" w:hAnsi="Arial" w:cs="Arial"/>
          <w:b/>
          <w:bCs/>
        </w:rPr>
        <w:t xml:space="preserve">Considerando </w:t>
      </w:r>
      <w:r w:rsidRPr="0033105D">
        <w:rPr>
          <w:rFonts w:ascii="Arial" w:hAnsi="Arial" w:cs="Arial"/>
        </w:rPr>
        <w:t>que, nos termos do art. 14 do Regulamento do Fundo Estadual de Recursos Hídricos, instituído pelo Decreto nº 9.132/2010, as normas complementares e demais procedimentos operacionais, considerados de interesse para a agilidade e o funcionamento eficaz do Fundo Estadual de Recursos Hídricos – FHRI/PR, deverão ser estabelecidos mediante Resolução da Secretaria de Estado do Desenvolvimento Sustentável e da Secretaria de Estado da Fazenda, em articulação com o Instituo Água e Terra, após aprovação pelo Conselho Estadual de Recursos Hídricos;</w:t>
      </w:r>
    </w:p>
    <w:p w14:paraId="50A22422" w14:textId="77777777" w:rsidR="0033105D" w:rsidRPr="0033105D" w:rsidRDefault="0033105D" w:rsidP="0033105D">
      <w:pPr>
        <w:jc w:val="both"/>
        <w:rPr>
          <w:rFonts w:ascii="Arial" w:hAnsi="Arial" w:cs="Arial"/>
          <w:b/>
          <w:bCs/>
        </w:rPr>
      </w:pPr>
      <w:r w:rsidRPr="0033105D">
        <w:rPr>
          <w:rFonts w:ascii="Arial" w:hAnsi="Arial" w:cs="Arial"/>
          <w:b/>
          <w:bCs/>
        </w:rPr>
        <w:t>RESOLVEM:</w:t>
      </w:r>
    </w:p>
    <w:p w14:paraId="789B6C29" w14:textId="60324879" w:rsidR="0033105D" w:rsidRPr="0033105D" w:rsidRDefault="0033105D" w:rsidP="0033105D">
      <w:pPr>
        <w:jc w:val="both"/>
        <w:rPr>
          <w:rFonts w:ascii="Arial" w:hAnsi="Arial" w:cs="Arial"/>
        </w:rPr>
      </w:pPr>
      <w:r w:rsidRPr="0033105D">
        <w:rPr>
          <w:rFonts w:ascii="Arial" w:hAnsi="Arial" w:cs="Arial"/>
        </w:rPr>
        <w:t>Art. 1º. Nos termos do art. 22, §1º da Política Estadual de Recursos Hídricos, o Fundo Estadual de Recursos Hídricos é constituído por recursos das seguintes fontes:</w:t>
      </w:r>
    </w:p>
    <w:p w14:paraId="7D9167FD" w14:textId="77777777" w:rsidR="0033105D" w:rsidRPr="0033105D" w:rsidRDefault="0033105D" w:rsidP="0033105D">
      <w:pPr>
        <w:jc w:val="both"/>
        <w:rPr>
          <w:rFonts w:ascii="Arial" w:hAnsi="Arial" w:cs="Arial"/>
        </w:rPr>
      </w:pPr>
      <w:r w:rsidRPr="0033105D">
        <w:rPr>
          <w:rFonts w:ascii="Arial" w:hAnsi="Arial" w:cs="Arial"/>
        </w:rPr>
        <w:t xml:space="preserve">I - </w:t>
      </w:r>
      <w:proofErr w:type="gramStart"/>
      <w:r w:rsidRPr="0033105D">
        <w:rPr>
          <w:rFonts w:ascii="Arial" w:hAnsi="Arial" w:cs="Arial"/>
        </w:rPr>
        <w:t>receitas</w:t>
      </w:r>
      <w:proofErr w:type="gramEnd"/>
      <w:r w:rsidRPr="0033105D">
        <w:rPr>
          <w:rFonts w:ascii="Arial" w:hAnsi="Arial" w:cs="Arial"/>
        </w:rPr>
        <w:t xml:space="preserve"> originárias da cobrança pelo direito de uso de recursos hídricos;</w:t>
      </w:r>
    </w:p>
    <w:p w14:paraId="4E4F41EE" w14:textId="77777777" w:rsidR="0033105D" w:rsidRPr="0033105D" w:rsidRDefault="0033105D" w:rsidP="0033105D">
      <w:pPr>
        <w:jc w:val="both"/>
        <w:rPr>
          <w:rFonts w:ascii="Arial" w:hAnsi="Arial" w:cs="Arial"/>
        </w:rPr>
      </w:pPr>
      <w:r w:rsidRPr="0033105D">
        <w:rPr>
          <w:rFonts w:ascii="Arial" w:hAnsi="Arial" w:cs="Arial"/>
        </w:rPr>
        <w:t xml:space="preserve">II - </w:t>
      </w:r>
      <w:proofErr w:type="gramStart"/>
      <w:r w:rsidRPr="0033105D">
        <w:rPr>
          <w:rFonts w:ascii="Arial" w:hAnsi="Arial" w:cs="Arial"/>
        </w:rPr>
        <w:t>produto</w:t>
      </w:r>
      <w:proofErr w:type="gramEnd"/>
      <w:r w:rsidRPr="0033105D">
        <w:rPr>
          <w:rFonts w:ascii="Arial" w:hAnsi="Arial" w:cs="Arial"/>
        </w:rPr>
        <w:t xml:space="preserve"> de arrecadação da dívida ativa decorrente de débitos com a cobrança pelo direito de uso de recursos hídricos;</w:t>
      </w:r>
    </w:p>
    <w:p w14:paraId="51A12C63" w14:textId="6E7EED33" w:rsidR="0033105D" w:rsidRPr="0033105D" w:rsidRDefault="0033105D" w:rsidP="0033105D">
      <w:pPr>
        <w:jc w:val="both"/>
        <w:rPr>
          <w:rFonts w:ascii="Arial" w:hAnsi="Arial" w:cs="Arial"/>
        </w:rPr>
      </w:pPr>
      <w:r w:rsidRPr="0033105D">
        <w:rPr>
          <w:rFonts w:ascii="Arial" w:hAnsi="Arial" w:cs="Arial"/>
        </w:rPr>
        <w:t>III - dotações consignadas no Orçamento Geral do Estado e em créditos adicionais;</w:t>
      </w:r>
    </w:p>
    <w:p w14:paraId="7D15C325" w14:textId="49F53406" w:rsidR="0033105D" w:rsidRPr="0033105D" w:rsidRDefault="0033105D" w:rsidP="0033105D">
      <w:pPr>
        <w:jc w:val="both"/>
        <w:rPr>
          <w:rFonts w:ascii="Arial" w:hAnsi="Arial" w:cs="Arial"/>
        </w:rPr>
      </w:pPr>
      <w:r w:rsidRPr="0033105D">
        <w:rPr>
          <w:rFonts w:ascii="Arial" w:hAnsi="Arial" w:cs="Arial"/>
        </w:rPr>
        <w:t xml:space="preserve">IV - </w:t>
      </w:r>
      <w:proofErr w:type="gramStart"/>
      <w:r w:rsidRPr="0033105D">
        <w:rPr>
          <w:rFonts w:ascii="Arial" w:hAnsi="Arial" w:cs="Arial"/>
        </w:rPr>
        <w:t>dotações</w:t>
      </w:r>
      <w:proofErr w:type="gramEnd"/>
      <w:r w:rsidRPr="0033105D">
        <w:rPr>
          <w:rFonts w:ascii="Arial" w:hAnsi="Arial" w:cs="Arial"/>
        </w:rPr>
        <w:t xml:space="preserve"> consignadas no Orçamento Geral da União e nos Orçamentos dos Municípios e em seus respectivos créditos adicionais;</w:t>
      </w:r>
    </w:p>
    <w:p w14:paraId="46EC681D" w14:textId="77777777" w:rsidR="0033105D" w:rsidRPr="0033105D" w:rsidRDefault="0033105D" w:rsidP="0033105D">
      <w:pPr>
        <w:jc w:val="both"/>
        <w:rPr>
          <w:rFonts w:ascii="Arial" w:hAnsi="Arial" w:cs="Arial"/>
        </w:rPr>
      </w:pPr>
      <w:r w:rsidRPr="0033105D">
        <w:rPr>
          <w:rFonts w:ascii="Arial" w:hAnsi="Arial" w:cs="Arial"/>
        </w:rPr>
        <w:t xml:space="preserve">V - </w:t>
      </w:r>
      <w:proofErr w:type="gramStart"/>
      <w:r w:rsidRPr="0033105D">
        <w:rPr>
          <w:rFonts w:ascii="Arial" w:hAnsi="Arial" w:cs="Arial"/>
        </w:rPr>
        <w:t>produtos</w:t>
      </w:r>
      <w:proofErr w:type="gramEnd"/>
      <w:r w:rsidRPr="0033105D">
        <w:rPr>
          <w:rFonts w:ascii="Arial" w:hAnsi="Arial" w:cs="Arial"/>
        </w:rPr>
        <w:t xml:space="preserve"> de operações de crédito e de financiamento realizadas pelo Estado em favor do Fundo;</w:t>
      </w:r>
    </w:p>
    <w:p w14:paraId="7662FC2B" w14:textId="77777777" w:rsidR="0033105D" w:rsidRPr="0033105D" w:rsidRDefault="0033105D" w:rsidP="0033105D">
      <w:pPr>
        <w:jc w:val="both"/>
        <w:rPr>
          <w:rFonts w:ascii="Arial" w:hAnsi="Arial" w:cs="Arial"/>
        </w:rPr>
      </w:pPr>
      <w:r w:rsidRPr="0033105D">
        <w:rPr>
          <w:rFonts w:ascii="Arial" w:hAnsi="Arial" w:cs="Arial"/>
        </w:rPr>
        <w:t xml:space="preserve">VI - </w:t>
      </w:r>
      <w:proofErr w:type="gramStart"/>
      <w:r w:rsidRPr="0033105D">
        <w:rPr>
          <w:rFonts w:ascii="Arial" w:hAnsi="Arial" w:cs="Arial"/>
        </w:rPr>
        <w:t>resultado</w:t>
      </w:r>
      <w:proofErr w:type="gramEnd"/>
      <w:r w:rsidRPr="0033105D">
        <w:rPr>
          <w:rFonts w:ascii="Arial" w:hAnsi="Arial" w:cs="Arial"/>
        </w:rPr>
        <w:t xml:space="preserve"> de aplicações financeiras de disponibilidades temporárias ou transitórias do Fundo;</w:t>
      </w:r>
    </w:p>
    <w:p w14:paraId="26046416" w14:textId="003DACCF" w:rsidR="0033105D" w:rsidRPr="0033105D" w:rsidRDefault="0033105D" w:rsidP="0033105D">
      <w:pPr>
        <w:jc w:val="both"/>
        <w:rPr>
          <w:rFonts w:ascii="Arial" w:hAnsi="Arial" w:cs="Arial"/>
        </w:rPr>
      </w:pPr>
      <w:r w:rsidRPr="0033105D">
        <w:rPr>
          <w:rFonts w:ascii="Arial" w:hAnsi="Arial" w:cs="Arial"/>
        </w:rPr>
        <w:t>VII - receitas de convênios, contratos, acordos e ajustes firmados pelos órgãos executivo gestor ou coordenador central do Sistema Estadual de Gerenciamento de Recursos Hídricos – SEGRH/PR, visando o atendimento aos objetivos do FRHI/PR;</w:t>
      </w:r>
    </w:p>
    <w:p w14:paraId="044B260B" w14:textId="02CC4D85" w:rsidR="0033105D" w:rsidRPr="0033105D" w:rsidRDefault="0033105D" w:rsidP="0033105D">
      <w:pPr>
        <w:jc w:val="both"/>
        <w:rPr>
          <w:rFonts w:ascii="Arial" w:hAnsi="Arial" w:cs="Arial"/>
        </w:rPr>
      </w:pPr>
      <w:r w:rsidRPr="0033105D">
        <w:rPr>
          <w:rFonts w:ascii="Arial" w:hAnsi="Arial" w:cs="Arial"/>
        </w:rPr>
        <w:t>VIII - contribuições, doações e legados, em favor do Fundo, de pessoas físicas ou jurídicas, de direito privado ou público, nacionais, estrangeiras e internacionais;</w:t>
      </w:r>
    </w:p>
    <w:p w14:paraId="45971340" w14:textId="4544B0EA" w:rsidR="0033105D" w:rsidRPr="0033105D" w:rsidRDefault="0033105D" w:rsidP="0033105D">
      <w:pPr>
        <w:jc w:val="both"/>
        <w:rPr>
          <w:rFonts w:ascii="Arial" w:hAnsi="Arial" w:cs="Arial"/>
        </w:rPr>
      </w:pPr>
      <w:r w:rsidRPr="0033105D">
        <w:rPr>
          <w:rFonts w:ascii="Arial" w:hAnsi="Arial" w:cs="Arial"/>
        </w:rPr>
        <w:t xml:space="preserve">IX - </w:t>
      </w:r>
      <w:proofErr w:type="gramStart"/>
      <w:r w:rsidRPr="0033105D">
        <w:rPr>
          <w:rFonts w:ascii="Arial" w:hAnsi="Arial" w:cs="Arial"/>
        </w:rPr>
        <w:t>compensação</w:t>
      </w:r>
      <w:proofErr w:type="gramEnd"/>
      <w:r w:rsidRPr="0033105D">
        <w:rPr>
          <w:rFonts w:ascii="Arial" w:hAnsi="Arial" w:cs="Arial"/>
        </w:rPr>
        <w:t xml:space="preserve"> financeira e royalties pela exploração de recursos hídricos para fins de geração de energia elétrica que o Estado do Paraná faz jus, excetuadas as receitas oriundas da Usina Hidrelétrica de Itaipu;</w:t>
      </w:r>
    </w:p>
    <w:p w14:paraId="4FCA4641" w14:textId="038B2D59" w:rsidR="0033105D" w:rsidRPr="0033105D" w:rsidRDefault="0033105D" w:rsidP="0033105D">
      <w:pPr>
        <w:jc w:val="both"/>
        <w:rPr>
          <w:rFonts w:ascii="Arial" w:hAnsi="Arial" w:cs="Arial"/>
        </w:rPr>
      </w:pPr>
      <w:r w:rsidRPr="0033105D">
        <w:rPr>
          <w:rFonts w:ascii="Arial" w:hAnsi="Arial" w:cs="Arial"/>
        </w:rPr>
        <w:t xml:space="preserve">X - </w:t>
      </w:r>
      <w:proofErr w:type="gramStart"/>
      <w:r w:rsidRPr="0033105D">
        <w:rPr>
          <w:rFonts w:ascii="Arial" w:hAnsi="Arial" w:cs="Arial"/>
        </w:rPr>
        <w:t>quaisquer</w:t>
      </w:r>
      <w:proofErr w:type="gramEnd"/>
      <w:r w:rsidRPr="0033105D">
        <w:rPr>
          <w:rFonts w:ascii="Arial" w:hAnsi="Arial" w:cs="Arial"/>
        </w:rPr>
        <w:t xml:space="preserve"> outras receitas eventuais, vinculadas aos objetivos do Fundo Estadual de Recursos Hídricos – FRHI/PR.</w:t>
      </w:r>
    </w:p>
    <w:p w14:paraId="0A878DF7" w14:textId="00329BD8" w:rsidR="0033105D" w:rsidRDefault="0033105D" w:rsidP="0033105D">
      <w:pPr>
        <w:jc w:val="both"/>
        <w:rPr>
          <w:rFonts w:ascii="Arial" w:hAnsi="Arial" w:cs="Arial"/>
        </w:rPr>
      </w:pPr>
      <w:r w:rsidRPr="0033105D">
        <w:rPr>
          <w:rFonts w:ascii="Arial" w:hAnsi="Arial" w:cs="Arial"/>
        </w:rPr>
        <w:t xml:space="preserve">Art. 2º. No que concerne aos valores arrecadados com a cobrança pelo direito de uso de recursos hídricos, conforme art. 1°, inciso I e II, esses serão prioritariamente aplicados na área de atuação dos respectivos Comitês em que foram gerados, respeitando-se o percentual mínimo de 80% (oitenta por cento) do total arrecadado, à </w:t>
      </w:r>
      <w:r w:rsidRPr="0033105D">
        <w:rPr>
          <w:rFonts w:ascii="Arial" w:hAnsi="Arial" w:cs="Arial"/>
        </w:rPr>
        <w:lastRenderedPageBreak/>
        <w:t>exceção de proposição expressamente aprovada pelo respectivo Comitê de Bacia Hidrográfica.</w:t>
      </w:r>
    </w:p>
    <w:p w14:paraId="54C52099" w14:textId="668BD5EA" w:rsidR="00CB4111" w:rsidRPr="00CB4111" w:rsidRDefault="00CB4111" w:rsidP="00CB4111">
      <w:pPr>
        <w:pBdr>
          <w:bottom w:val="dotted" w:sz="24" w:space="1" w:color="auto"/>
        </w:pBdr>
        <w:jc w:val="both"/>
        <w:rPr>
          <w:rFonts w:ascii="Arial" w:hAnsi="Arial" w:cs="Arial"/>
          <w:b/>
        </w:rPr>
      </w:pPr>
      <w:r w:rsidRPr="00CB4111">
        <w:rPr>
          <w:rFonts w:ascii="Arial" w:hAnsi="Arial" w:cs="Arial"/>
          <w:highlight w:val="green"/>
        </w:rPr>
        <w:t>Observação levantada na Reunião n°09/2025 da CTINS/CERH: CEDEA irá escrever um parágrafo único comtemplando a destinação dos 20% restantes dos recursos.</w:t>
      </w:r>
      <w:r w:rsidRPr="00CB4111">
        <w:rPr>
          <w:rFonts w:ascii="Arial" w:hAnsi="Arial" w:cs="Arial"/>
        </w:rPr>
        <w:t xml:space="preserve">  </w:t>
      </w:r>
    </w:p>
    <w:p w14:paraId="46EAD331" w14:textId="0A20370A" w:rsidR="0033105D" w:rsidRPr="0033105D" w:rsidRDefault="0033105D" w:rsidP="0033105D">
      <w:pPr>
        <w:jc w:val="both"/>
        <w:rPr>
          <w:rFonts w:ascii="Arial" w:hAnsi="Arial" w:cs="Arial"/>
        </w:rPr>
      </w:pPr>
      <w:r w:rsidRPr="0033105D">
        <w:rPr>
          <w:rFonts w:ascii="Arial" w:hAnsi="Arial" w:cs="Arial"/>
        </w:rPr>
        <w:t>Art. 3º. Os recursos arrecadados com a cobrança pelo direito de uso de recursos hídricos serão vinculados a subcontas correspondentes à área de atuação dos respectivos Comitês de Bacias Hidrográficas onde forem arrecadados, conforme a divisão territorial adotada para efeitos da implementação do modelo de gestão de recursos hídricos do Estado do Paraná.</w:t>
      </w:r>
    </w:p>
    <w:p w14:paraId="678678AA" w14:textId="26D78CAD" w:rsidR="0033105D" w:rsidRPr="0033105D" w:rsidRDefault="0033105D" w:rsidP="0033105D">
      <w:pPr>
        <w:jc w:val="both"/>
        <w:rPr>
          <w:rFonts w:ascii="Arial" w:hAnsi="Arial" w:cs="Arial"/>
        </w:rPr>
      </w:pPr>
      <w:r w:rsidRPr="0033105D">
        <w:rPr>
          <w:rFonts w:ascii="Arial" w:hAnsi="Arial" w:cs="Arial"/>
        </w:rPr>
        <w:t>Art. 4º. A aplicação de recursos provenientes da cobrança pelo direito de uso de recursos hídricos, nos termos do art. 3º, serão utilizados para:</w:t>
      </w:r>
    </w:p>
    <w:p w14:paraId="43EF2BD1" w14:textId="4A1E2674" w:rsidR="0033105D" w:rsidRDefault="0033105D" w:rsidP="0033105D">
      <w:pPr>
        <w:jc w:val="both"/>
        <w:rPr>
          <w:rFonts w:ascii="Arial" w:hAnsi="Arial" w:cs="Arial"/>
        </w:rPr>
      </w:pPr>
      <w:r w:rsidRPr="0033105D">
        <w:rPr>
          <w:rFonts w:ascii="Arial" w:hAnsi="Arial" w:cs="Arial"/>
        </w:rPr>
        <w:t xml:space="preserve">I - </w:t>
      </w:r>
      <w:proofErr w:type="gramStart"/>
      <w:r w:rsidRPr="0033105D">
        <w:rPr>
          <w:rFonts w:ascii="Arial" w:hAnsi="Arial" w:cs="Arial"/>
        </w:rPr>
        <w:t>aplicação</w:t>
      </w:r>
      <w:proofErr w:type="gramEnd"/>
      <w:r w:rsidRPr="0033105D">
        <w:rPr>
          <w:rFonts w:ascii="Arial" w:hAnsi="Arial" w:cs="Arial"/>
        </w:rPr>
        <w:t xml:space="preserve"> em prol da gestão integrada de recursos hídricos, visando a recuperação e proteção das Bacias Hidrográficas, conforme Plano de Recursos Hídricos;</w:t>
      </w:r>
    </w:p>
    <w:p w14:paraId="3BE064A7" w14:textId="40EC0025" w:rsidR="00CB4111" w:rsidRPr="00CB4111" w:rsidRDefault="00CB4111" w:rsidP="00CB4111">
      <w:pPr>
        <w:jc w:val="both"/>
        <w:rPr>
          <w:rFonts w:ascii="Arial" w:hAnsi="Arial" w:cs="Arial"/>
          <w:highlight w:val="green"/>
        </w:rPr>
      </w:pPr>
      <w:r w:rsidRPr="00CB4111">
        <w:rPr>
          <w:rFonts w:ascii="Arial" w:hAnsi="Arial" w:cs="Arial"/>
          <w:highlight w:val="green"/>
        </w:rPr>
        <w:t xml:space="preserve">Observação levantada na Reunião n°09/2025 da CTINS/CERH: </w:t>
      </w:r>
      <w:r>
        <w:rPr>
          <w:rFonts w:ascii="Arial" w:hAnsi="Arial" w:cs="Arial"/>
          <w:highlight w:val="green"/>
        </w:rPr>
        <w:t xml:space="preserve">foram apresentadas </w:t>
      </w:r>
      <w:r w:rsidRPr="00CB4111">
        <w:rPr>
          <w:rFonts w:ascii="Arial" w:hAnsi="Arial" w:cs="Arial"/>
          <w:highlight w:val="green"/>
        </w:rPr>
        <w:t>duas sugestões</w:t>
      </w:r>
      <w:r>
        <w:rPr>
          <w:rFonts w:ascii="Arial" w:hAnsi="Arial" w:cs="Arial"/>
          <w:highlight w:val="green"/>
        </w:rPr>
        <w:t xml:space="preserve"> para aprimorar o texto:</w:t>
      </w:r>
    </w:p>
    <w:p w14:paraId="2A821DBB" w14:textId="35005FC2" w:rsidR="00CB4111" w:rsidRPr="00CB4111" w:rsidRDefault="00CB4111" w:rsidP="00CB4111">
      <w:pPr>
        <w:jc w:val="both"/>
        <w:rPr>
          <w:rFonts w:ascii="Arial" w:hAnsi="Arial" w:cs="Arial"/>
          <w:highlight w:val="green"/>
        </w:rPr>
      </w:pPr>
      <w:r w:rsidRPr="00CB4111">
        <w:rPr>
          <w:rFonts w:ascii="Arial" w:hAnsi="Arial" w:cs="Arial"/>
          <w:highlight w:val="green"/>
        </w:rPr>
        <w:t xml:space="preserve">I - </w:t>
      </w:r>
      <w:proofErr w:type="gramStart"/>
      <w:r w:rsidRPr="00CB4111">
        <w:rPr>
          <w:rFonts w:ascii="Arial" w:hAnsi="Arial" w:cs="Arial"/>
          <w:highlight w:val="green"/>
        </w:rPr>
        <w:t>aplicação</w:t>
      </w:r>
      <w:proofErr w:type="gramEnd"/>
      <w:r w:rsidRPr="00CB4111">
        <w:rPr>
          <w:rFonts w:ascii="Arial" w:hAnsi="Arial" w:cs="Arial"/>
          <w:highlight w:val="green"/>
        </w:rPr>
        <w:t xml:space="preserve"> em prol da gestão integrada de recursos hídricos, em conformidade com o Plano de Bacia</w:t>
      </w:r>
      <w:r>
        <w:rPr>
          <w:rFonts w:ascii="Arial" w:hAnsi="Arial" w:cs="Arial"/>
          <w:highlight w:val="green"/>
        </w:rPr>
        <w:t>;</w:t>
      </w:r>
    </w:p>
    <w:p w14:paraId="5CBB5836" w14:textId="2814E766" w:rsidR="00CB4111" w:rsidRPr="00CB4111" w:rsidRDefault="00CB4111" w:rsidP="00CB4111">
      <w:pPr>
        <w:jc w:val="both"/>
        <w:rPr>
          <w:rFonts w:ascii="Arial" w:hAnsi="Arial" w:cs="Arial"/>
        </w:rPr>
      </w:pPr>
      <w:r w:rsidRPr="00CB4111">
        <w:rPr>
          <w:rFonts w:ascii="Arial" w:hAnsi="Arial" w:cs="Arial"/>
          <w:highlight w:val="green"/>
        </w:rPr>
        <w:t xml:space="preserve">I - </w:t>
      </w:r>
      <w:proofErr w:type="gramStart"/>
      <w:r w:rsidRPr="00CB4111">
        <w:rPr>
          <w:rFonts w:ascii="Arial" w:hAnsi="Arial" w:cs="Arial"/>
          <w:highlight w:val="green"/>
        </w:rPr>
        <w:t>aplicação</w:t>
      </w:r>
      <w:proofErr w:type="gramEnd"/>
      <w:r w:rsidRPr="00CB4111">
        <w:rPr>
          <w:rFonts w:ascii="Arial" w:hAnsi="Arial" w:cs="Arial"/>
          <w:highlight w:val="green"/>
        </w:rPr>
        <w:t xml:space="preserve"> em prol da gestão integrada de recursos hídricos, visando à recuperação (deve ser elencado que tipo de recuperação hídrica, exemplo: nascentes, mata ciliar, poluição hídrica, proteção de aquíferos, proteção de mananciais de abastecimento público, educação ambiental e outros que for </w:t>
      </w:r>
      <w:proofErr w:type="gramStart"/>
      <w:r w:rsidRPr="00CB4111">
        <w:rPr>
          <w:rFonts w:ascii="Arial" w:hAnsi="Arial" w:cs="Arial"/>
          <w:highlight w:val="green"/>
        </w:rPr>
        <w:t>apontados</w:t>
      </w:r>
      <w:proofErr w:type="gramEnd"/>
      <w:r w:rsidRPr="00CB4111">
        <w:rPr>
          <w:rFonts w:ascii="Arial" w:hAnsi="Arial" w:cs="Arial"/>
          <w:highlight w:val="green"/>
        </w:rPr>
        <w:t xml:space="preserve"> pelo comitê de bacia e como bem esteja contemplado no plano de bacia ao que se refere a proteção das Bacias Hidrográficas como um todo.</w:t>
      </w:r>
      <w:r>
        <w:rPr>
          <w:rFonts w:ascii="Arial" w:hAnsi="Arial" w:cs="Arial"/>
        </w:rPr>
        <w:t xml:space="preserve"> </w:t>
      </w:r>
      <w:r w:rsidRPr="00CB4111">
        <w:rPr>
          <w:rFonts w:ascii="Arial" w:hAnsi="Arial" w:cs="Arial"/>
          <w:highlight w:val="yellow"/>
        </w:rPr>
        <w:t>(Essa sugestão foi considerada temerária tendo em vista possível restrição de aplicabilidade da norma ao estabelecer um rol de ações.</w:t>
      </w:r>
    </w:p>
    <w:p w14:paraId="07A98CAC" w14:textId="3EE35CC8" w:rsidR="0033105D" w:rsidRDefault="0033105D" w:rsidP="0033105D">
      <w:pPr>
        <w:jc w:val="both"/>
        <w:rPr>
          <w:rFonts w:ascii="Arial" w:hAnsi="Arial" w:cs="Arial"/>
        </w:rPr>
      </w:pPr>
      <w:r w:rsidRPr="0033105D">
        <w:rPr>
          <w:rFonts w:ascii="Arial" w:hAnsi="Arial" w:cs="Arial"/>
        </w:rPr>
        <w:t xml:space="preserve">II - </w:t>
      </w:r>
      <w:proofErr w:type="gramStart"/>
      <w:r w:rsidRPr="0033105D">
        <w:rPr>
          <w:rFonts w:ascii="Arial" w:hAnsi="Arial" w:cs="Arial"/>
        </w:rPr>
        <w:t>financiamento</w:t>
      </w:r>
      <w:proofErr w:type="gramEnd"/>
      <w:r w:rsidRPr="0033105D">
        <w:rPr>
          <w:rFonts w:ascii="Arial" w:hAnsi="Arial" w:cs="Arial"/>
        </w:rPr>
        <w:t xml:space="preserve"> de estudos, programas, projetos e obras, conforme ações previstas no Plano de Bacia Hidrográfica, bem como o pagamento de despesas de monitoramento dos corpos d’água;</w:t>
      </w:r>
    </w:p>
    <w:p w14:paraId="7810F95A" w14:textId="5ACFAA26" w:rsidR="00CB4111" w:rsidRPr="0033105D" w:rsidRDefault="00CB4111" w:rsidP="0033105D">
      <w:pPr>
        <w:jc w:val="both"/>
        <w:rPr>
          <w:rFonts w:ascii="Arial" w:hAnsi="Arial" w:cs="Arial"/>
        </w:rPr>
      </w:pPr>
      <w:r w:rsidRPr="00CB4111">
        <w:rPr>
          <w:rFonts w:ascii="Arial" w:hAnsi="Arial" w:cs="Arial"/>
          <w:highlight w:val="green"/>
        </w:rPr>
        <w:t>Observação levantada na Reunião n°09/2025 da CTINS/CERH:</w:t>
      </w:r>
      <w:r>
        <w:rPr>
          <w:rFonts w:ascii="Arial" w:hAnsi="Arial" w:cs="Arial"/>
        </w:rPr>
        <w:t xml:space="preserve"> </w:t>
      </w:r>
      <w:r w:rsidRPr="00CB4111">
        <w:rPr>
          <w:rFonts w:ascii="Arial" w:hAnsi="Arial" w:cs="Arial"/>
          <w:highlight w:val="green"/>
        </w:rPr>
        <w:t>Explicar melhor no Manual.</w:t>
      </w:r>
    </w:p>
    <w:p w14:paraId="4FA7166D" w14:textId="60B27A43" w:rsidR="0033105D" w:rsidRPr="0033105D" w:rsidRDefault="0033105D" w:rsidP="0033105D">
      <w:pPr>
        <w:jc w:val="both"/>
        <w:rPr>
          <w:rFonts w:ascii="Arial" w:hAnsi="Arial" w:cs="Arial"/>
        </w:rPr>
      </w:pPr>
      <w:r w:rsidRPr="0033105D">
        <w:rPr>
          <w:rFonts w:ascii="Arial" w:hAnsi="Arial" w:cs="Arial"/>
        </w:rPr>
        <w:t xml:space="preserve">III - pagamento de despesas relativas à </w:t>
      </w:r>
      <w:proofErr w:type="gramStart"/>
      <w:r w:rsidRPr="0033105D">
        <w:rPr>
          <w:rFonts w:ascii="Arial" w:hAnsi="Arial" w:cs="Arial"/>
        </w:rPr>
        <w:t>implantação e custeios administrativo</w:t>
      </w:r>
      <w:proofErr w:type="gramEnd"/>
      <w:r w:rsidRPr="0033105D">
        <w:rPr>
          <w:rFonts w:ascii="Arial" w:hAnsi="Arial" w:cs="Arial"/>
        </w:rPr>
        <w:t xml:space="preserve"> </w:t>
      </w:r>
      <w:proofErr w:type="gramStart"/>
      <w:r w:rsidRPr="0033105D">
        <w:rPr>
          <w:rFonts w:ascii="Arial" w:hAnsi="Arial" w:cs="Arial"/>
        </w:rPr>
        <w:t>dos órgão</w:t>
      </w:r>
      <w:proofErr w:type="gramEnd"/>
      <w:r w:rsidRPr="0033105D">
        <w:rPr>
          <w:rFonts w:ascii="Arial" w:hAnsi="Arial" w:cs="Arial"/>
        </w:rPr>
        <w:t xml:space="preserve"> e entidades integrantes do Sistema Estadual de Gerenciamento de Recursos Hídricos – SEGRH/PR, pagamento esse limitado a 7,5% (sete e meio por cento) do total arrecadado com a cobrança pelo direito de uso de recursos hídricos;</w:t>
      </w:r>
    </w:p>
    <w:p w14:paraId="07B3B7CC" w14:textId="031D9EAD" w:rsidR="0033105D" w:rsidRPr="0033105D" w:rsidRDefault="0033105D" w:rsidP="0033105D">
      <w:pPr>
        <w:jc w:val="both"/>
        <w:rPr>
          <w:rFonts w:ascii="Arial" w:hAnsi="Arial" w:cs="Arial"/>
        </w:rPr>
      </w:pPr>
      <w:r w:rsidRPr="0033105D">
        <w:rPr>
          <w:rFonts w:ascii="Arial" w:hAnsi="Arial" w:cs="Arial"/>
        </w:rPr>
        <w:t xml:space="preserve">IV - </w:t>
      </w:r>
      <w:proofErr w:type="gramStart"/>
      <w:r w:rsidRPr="0033105D">
        <w:rPr>
          <w:rFonts w:ascii="Arial" w:hAnsi="Arial" w:cs="Arial"/>
        </w:rPr>
        <w:t>custeio</w:t>
      </w:r>
      <w:proofErr w:type="gramEnd"/>
      <w:r w:rsidRPr="0033105D">
        <w:rPr>
          <w:rFonts w:ascii="Arial" w:hAnsi="Arial" w:cs="Arial"/>
        </w:rPr>
        <w:t xml:space="preserve"> administrativo dos órgãos e entidades, vinculadas ao Governo do Estado e intervenientes no Sistema Estadual de Gerenciamento de Recursos Hídricos – SEGRH/PR, desde que esses custos estejam rigorosamente restritos às despesas que, porventura, lhes forem imputadas em decorrência da instalação e operação do SEGRH/PR.</w:t>
      </w:r>
    </w:p>
    <w:p w14:paraId="665F3185" w14:textId="5AFE843B" w:rsidR="0033105D" w:rsidRPr="0033105D" w:rsidRDefault="0033105D" w:rsidP="0033105D">
      <w:pPr>
        <w:jc w:val="both"/>
        <w:rPr>
          <w:rFonts w:ascii="Arial" w:hAnsi="Arial" w:cs="Arial"/>
        </w:rPr>
      </w:pPr>
      <w:r w:rsidRPr="0033105D">
        <w:rPr>
          <w:rFonts w:ascii="Arial" w:hAnsi="Arial" w:cs="Arial"/>
        </w:rPr>
        <w:lastRenderedPageBreak/>
        <w:t>Parágrafo único. As propostas apresentadas para concorrer aos recursos financeiros existentes na conta do Comitê de Bacia Hidrográfica deverão estar enquadradas nos incisos do art. 4º, bem como alinhado às metas estabelecidas pelos Planos de Bacia Hidrográfica, conforme seus programas, subprogramas e ações específicas descritos no Plano de Ações.</w:t>
      </w:r>
    </w:p>
    <w:p w14:paraId="69189587" w14:textId="75BE40F0" w:rsidR="0033105D" w:rsidRDefault="0033105D" w:rsidP="0033105D">
      <w:pPr>
        <w:jc w:val="both"/>
        <w:rPr>
          <w:rFonts w:ascii="Arial" w:hAnsi="Arial" w:cs="Arial"/>
        </w:rPr>
      </w:pPr>
      <w:r w:rsidRPr="0033105D">
        <w:rPr>
          <w:rFonts w:ascii="Arial" w:hAnsi="Arial" w:cs="Arial"/>
        </w:rPr>
        <w:t>Art. 5º. Para o financiamento de propostas com recursos da conta do Comitê oriundos da cobrança pelo direito de uso de recursos hídricos, os Comitês de Bacia no Estado do Paraná deverão realizar processo de seleção, em rigorosa observância ao disposto no Manual de Orientação da Aplicação dos Recursos da Cobrança pelo Uso de Recursos Hídricos, e nos termos do disposto na Resolução CERH nº 94/2015, de 14 de outubro de 2025, e suas alterações.</w:t>
      </w:r>
    </w:p>
    <w:p w14:paraId="6D9E9D40" w14:textId="590EB3AB" w:rsidR="00D131BA" w:rsidRPr="00D131BA" w:rsidRDefault="00D131BA" w:rsidP="00D131BA">
      <w:pPr>
        <w:jc w:val="both"/>
        <w:rPr>
          <w:rStyle w:val="Forte"/>
          <w:rFonts w:ascii="Arial" w:hAnsi="Arial" w:cs="Arial"/>
        </w:rPr>
      </w:pPr>
      <w:r w:rsidRPr="00CB4111">
        <w:rPr>
          <w:rFonts w:ascii="Arial" w:hAnsi="Arial" w:cs="Arial"/>
          <w:highlight w:val="green"/>
        </w:rPr>
        <w:t>Observação levantada na Reunião n°09/2025 da CTINS/CERH:</w:t>
      </w:r>
      <w:r w:rsidRPr="00D131BA">
        <w:rPr>
          <w:rFonts w:ascii="Arial" w:hAnsi="Arial" w:cs="Arial"/>
          <w:highlight w:val="green"/>
        </w:rPr>
        <w:t xml:space="preserve"> verificar a tipificação da seleção no manual (também solicitado pela SANEPAR)</w:t>
      </w:r>
    </w:p>
    <w:p w14:paraId="36EB9495" w14:textId="69777A54" w:rsidR="0033105D" w:rsidRPr="0033105D" w:rsidRDefault="0033105D" w:rsidP="0033105D">
      <w:pPr>
        <w:jc w:val="both"/>
        <w:rPr>
          <w:rFonts w:ascii="Arial" w:hAnsi="Arial" w:cs="Arial"/>
        </w:rPr>
      </w:pPr>
      <w:r w:rsidRPr="0033105D">
        <w:rPr>
          <w:rFonts w:ascii="Arial" w:hAnsi="Arial" w:cs="Arial"/>
        </w:rPr>
        <w:t xml:space="preserve">Parágrafo único. Para que o Comitê de Bacia esteja legitimado a financiar propostas com uso de recursos da conta do respectivo Comitê, </w:t>
      </w:r>
      <w:proofErr w:type="gramStart"/>
      <w:r w:rsidRPr="0033105D">
        <w:rPr>
          <w:rFonts w:ascii="Arial" w:hAnsi="Arial" w:cs="Arial"/>
        </w:rPr>
        <w:t>o mesmo</w:t>
      </w:r>
      <w:proofErr w:type="gramEnd"/>
      <w:r w:rsidRPr="0033105D">
        <w:rPr>
          <w:rFonts w:ascii="Arial" w:hAnsi="Arial" w:cs="Arial"/>
        </w:rPr>
        <w:t xml:space="preserve"> deverá possuir Plano de Bacia Hidrográfica devidamente aprovado.</w:t>
      </w:r>
    </w:p>
    <w:p w14:paraId="22025600" w14:textId="77777777" w:rsidR="0033105D" w:rsidRPr="0033105D" w:rsidRDefault="0033105D" w:rsidP="0033105D">
      <w:pPr>
        <w:jc w:val="both"/>
        <w:rPr>
          <w:rFonts w:ascii="Arial" w:hAnsi="Arial" w:cs="Arial"/>
        </w:rPr>
      </w:pPr>
      <w:r w:rsidRPr="0033105D">
        <w:rPr>
          <w:rFonts w:ascii="Arial" w:hAnsi="Arial" w:cs="Arial"/>
        </w:rPr>
        <w:t xml:space="preserve">Art. 6º. As propostas de aplicação relativas ao artigo 5° deverão ser objeto de Edital próprio, a ser publicado pelo órgão gestor do FHRI/PR – Instituto Água e Terra. </w:t>
      </w:r>
    </w:p>
    <w:p w14:paraId="2679C8D6" w14:textId="6A3CB47F" w:rsidR="0033105D" w:rsidRPr="0033105D" w:rsidRDefault="0033105D" w:rsidP="0033105D">
      <w:pPr>
        <w:jc w:val="both"/>
        <w:rPr>
          <w:rFonts w:ascii="Arial" w:hAnsi="Arial" w:cs="Arial"/>
        </w:rPr>
      </w:pPr>
      <w:r w:rsidRPr="0033105D">
        <w:rPr>
          <w:rFonts w:ascii="Arial" w:hAnsi="Arial" w:cs="Arial"/>
        </w:rPr>
        <w:t>§ 1º. A elaboração do Edital referido no art. 6° será elaborado pelo Comitê de Bacia, em parceria com o Instituto Água e Terra.</w:t>
      </w:r>
    </w:p>
    <w:p w14:paraId="7A9F982E" w14:textId="3B550FFB" w:rsidR="0033105D" w:rsidRPr="0033105D" w:rsidRDefault="0033105D" w:rsidP="0033105D">
      <w:pPr>
        <w:jc w:val="both"/>
        <w:rPr>
          <w:rFonts w:ascii="Arial" w:hAnsi="Arial" w:cs="Arial"/>
        </w:rPr>
      </w:pPr>
      <w:r w:rsidRPr="0033105D">
        <w:rPr>
          <w:rFonts w:ascii="Arial" w:hAnsi="Arial" w:cs="Arial"/>
        </w:rPr>
        <w:t>§ 2º. Caberá ao Instituto Água e Terra, em conjunto com o Agente Técnico-Financeiro, realizar a elegibilidade técnica da proposta e emitir pareceres acerca das solicitações de uso de recursos financeiros do FHRI/PR.</w:t>
      </w:r>
    </w:p>
    <w:p w14:paraId="1EBD6C13" w14:textId="2BFEE562" w:rsidR="0033105D" w:rsidRPr="0033105D" w:rsidRDefault="0033105D" w:rsidP="0033105D">
      <w:pPr>
        <w:jc w:val="both"/>
        <w:rPr>
          <w:rFonts w:ascii="Arial" w:hAnsi="Arial" w:cs="Arial"/>
        </w:rPr>
      </w:pPr>
      <w:r w:rsidRPr="0033105D">
        <w:rPr>
          <w:rFonts w:ascii="Arial" w:hAnsi="Arial" w:cs="Arial"/>
        </w:rPr>
        <w:t>Art. 7º. Para o financiamento de propostas que utilizem os recursos do FHRI/PR discriminados nos incisos III a X do art. 1°, o escopo da proposta deverá estar rigorosamente vinculado ao financiamento de estudos, ações, planos, programas, projetos, obras, serviços e aquisição de equipamentos, e desde que destinados à implantação e ao suporte financeiro de custeio e de investimentos do Sistema Estadual de Gerenciamento de Recursos Hídricos – SEGRH/PR.</w:t>
      </w:r>
    </w:p>
    <w:p w14:paraId="4D66A9C4" w14:textId="5FDDEB76" w:rsidR="0033105D" w:rsidRDefault="0033105D" w:rsidP="0033105D">
      <w:pPr>
        <w:jc w:val="both"/>
        <w:rPr>
          <w:rFonts w:ascii="Arial" w:hAnsi="Arial" w:cs="Arial"/>
        </w:rPr>
      </w:pPr>
      <w:r w:rsidRPr="0033105D">
        <w:rPr>
          <w:rFonts w:ascii="Arial" w:hAnsi="Arial" w:cs="Arial"/>
        </w:rPr>
        <w:t>Parágrafo único. A orientação para utilização dos recursos do FRHI/PR estabelecidas no caput, estarão regulamentadas no Manual de Operações do FRHI/PR, em anexo a esta resolução.</w:t>
      </w:r>
    </w:p>
    <w:p w14:paraId="5E2F74A0" w14:textId="69DBE5DE" w:rsidR="00D131BA" w:rsidRDefault="00D131BA" w:rsidP="00D131BA">
      <w:pPr>
        <w:jc w:val="both"/>
        <w:rPr>
          <w:rStyle w:val="Forte"/>
        </w:rPr>
      </w:pPr>
      <w:r w:rsidRPr="00CB4111">
        <w:rPr>
          <w:rFonts w:ascii="Arial" w:hAnsi="Arial" w:cs="Arial"/>
          <w:highlight w:val="green"/>
        </w:rPr>
        <w:t>Observação levantada na Reunião n°09/2025 da CTINS/CERH:</w:t>
      </w:r>
      <w:r w:rsidRPr="00D131BA">
        <w:rPr>
          <w:rFonts w:ascii="Arial" w:hAnsi="Arial" w:cs="Arial"/>
          <w:highlight w:val="green"/>
        </w:rPr>
        <w:t xml:space="preserve"> tipificação de equipamentos. Sugestão do Manual comtemplar os tipos de equipamentos</w:t>
      </w:r>
      <w:r>
        <w:rPr>
          <w:rFonts w:ascii="Times New Roman" w:hAnsi="Times New Roman" w:cs="Times New Roman"/>
        </w:rPr>
        <w:t>.</w:t>
      </w:r>
    </w:p>
    <w:p w14:paraId="67815668" w14:textId="754A166A" w:rsidR="0033105D" w:rsidRPr="0033105D" w:rsidRDefault="0033105D" w:rsidP="0033105D">
      <w:pPr>
        <w:jc w:val="both"/>
        <w:rPr>
          <w:rFonts w:ascii="Arial" w:hAnsi="Arial" w:cs="Arial"/>
        </w:rPr>
      </w:pPr>
      <w:r w:rsidRPr="0033105D">
        <w:rPr>
          <w:rFonts w:ascii="Arial" w:hAnsi="Arial" w:cs="Arial"/>
        </w:rPr>
        <w:t xml:space="preserve">Art. 8º. As receitas concernentes aos recursos do FHRI/PR não são contingenciáveis, a exceção de dotações que lhe forem consignadas pelo orçamento Geral do Estado e respectivos créditos adicionais, previstos no inciso VI do art. 1°, os quais poderão </w:t>
      </w:r>
      <w:r w:rsidRPr="0033105D">
        <w:rPr>
          <w:rFonts w:ascii="Arial" w:hAnsi="Arial" w:cs="Arial"/>
        </w:rPr>
        <w:lastRenderedPageBreak/>
        <w:t>sofrer contingenciamento mediante critérios próprios determinados pela administração do Tesouro Estadual.</w:t>
      </w:r>
    </w:p>
    <w:p w14:paraId="45570FA4" w14:textId="6E297032" w:rsidR="0033105D" w:rsidRDefault="0033105D" w:rsidP="0033105D">
      <w:pPr>
        <w:jc w:val="both"/>
        <w:rPr>
          <w:rFonts w:ascii="Arial" w:hAnsi="Arial" w:cs="Arial"/>
        </w:rPr>
      </w:pPr>
      <w:r w:rsidRPr="0033105D">
        <w:rPr>
          <w:rFonts w:ascii="Arial" w:hAnsi="Arial" w:cs="Arial"/>
        </w:rPr>
        <w:t xml:space="preserve">Art. 9º. O custeio administrativo dos órgãos e entidades vinculados ao Governo do Estado do Paraná, bem como quaisquer intervenientes no Sistema Estadual de Gerenciamento de Recursos Hídricos, restringe-se às despesas que lhes forem </w:t>
      </w:r>
      <w:proofErr w:type="gramStart"/>
      <w:r w:rsidRPr="0033105D">
        <w:rPr>
          <w:rFonts w:ascii="Arial" w:hAnsi="Arial" w:cs="Arial"/>
        </w:rPr>
        <w:t>imputada</w:t>
      </w:r>
      <w:proofErr w:type="gramEnd"/>
      <w:r w:rsidRPr="0033105D">
        <w:rPr>
          <w:rFonts w:ascii="Arial" w:hAnsi="Arial" w:cs="Arial"/>
        </w:rPr>
        <w:t xml:space="preserve"> em decorrência da instalação e operação do Sistema.</w:t>
      </w:r>
    </w:p>
    <w:p w14:paraId="0285C24F" w14:textId="0D1FE6A4" w:rsidR="003446C5" w:rsidRPr="00497739" w:rsidRDefault="003446C5" w:rsidP="003446C5">
      <w:pPr>
        <w:jc w:val="both"/>
        <w:rPr>
          <w:rFonts w:ascii="Arial" w:hAnsi="Arial" w:cs="Arial"/>
          <w:highlight w:val="green"/>
        </w:rPr>
      </w:pPr>
      <w:r w:rsidRPr="00497739">
        <w:rPr>
          <w:rFonts w:ascii="Arial" w:hAnsi="Arial" w:cs="Arial"/>
          <w:highlight w:val="green"/>
        </w:rPr>
        <w:t>Observação levantada na Reunião n°09/2025 da CTINS/CERH:</w:t>
      </w:r>
      <w:r w:rsidR="006A0835">
        <w:rPr>
          <w:rFonts w:ascii="Arial" w:hAnsi="Arial" w:cs="Arial"/>
          <w:highlight w:val="green"/>
        </w:rPr>
        <w:t xml:space="preserve"> </w:t>
      </w:r>
      <w:r w:rsidRPr="00497739">
        <w:rPr>
          <w:rFonts w:ascii="Arial" w:hAnsi="Arial" w:cs="Arial"/>
          <w:highlight w:val="green"/>
        </w:rPr>
        <w:t>tipificar no manual e na resolução (verificar necessidade)</w:t>
      </w:r>
    </w:p>
    <w:p w14:paraId="607BF856" w14:textId="194D5FA0" w:rsidR="003446C5" w:rsidRPr="00497739" w:rsidRDefault="003446C5" w:rsidP="003446C5">
      <w:pPr>
        <w:jc w:val="both"/>
        <w:rPr>
          <w:rStyle w:val="Forte"/>
          <w:rFonts w:ascii="Arial" w:hAnsi="Arial" w:cs="Arial"/>
        </w:rPr>
      </w:pPr>
      <w:r w:rsidRPr="00497739">
        <w:rPr>
          <w:rFonts w:ascii="Arial" w:hAnsi="Arial" w:cs="Arial"/>
          <w:highlight w:val="green"/>
        </w:rPr>
        <w:t>O custeio administrativo dos órgãos e entidades vinculados ao Sistema Estadual de Gerenciamento de Recursos Hídricos do Paraná, restringe-se às despesas que lhes forem imputadas em decorrência da operação do Sistema</w:t>
      </w:r>
      <w:r w:rsidR="00497739">
        <w:rPr>
          <w:rFonts w:ascii="Arial" w:hAnsi="Arial" w:cs="Arial"/>
        </w:rPr>
        <w:t>.</w:t>
      </w:r>
    </w:p>
    <w:p w14:paraId="6F14B1BF" w14:textId="22C73A7B" w:rsidR="0033105D" w:rsidRDefault="0033105D" w:rsidP="0033105D">
      <w:pPr>
        <w:jc w:val="both"/>
        <w:rPr>
          <w:rFonts w:ascii="Arial" w:hAnsi="Arial" w:cs="Arial"/>
        </w:rPr>
      </w:pPr>
      <w:r w:rsidRPr="0033105D">
        <w:rPr>
          <w:rFonts w:ascii="Arial" w:hAnsi="Arial" w:cs="Arial"/>
        </w:rPr>
        <w:t>Art. 10. Os recursos do FHRI/PR são legalmente vinculados à finalidade específica e serão utilizados exclusivamente para atender ao objeto de sua vinculação, ainda que em exercício diverso daquele em que ocorrer o ingresso.</w:t>
      </w:r>
    </w:p>
    <w:p w14:paraId="4825AC5D" w14:textId="3C75A0A6" w:rsidR="006A0835" w:rsidRPr="006A0835" w:rsidRDefault="006A0835" w:rsidP="006A0835">
      <w:pPr>
        <w:jc w:val="both"/>
        <w:rPr>
          <w:rFonts w:ascii="Arial" w:hAnsi="Arial" w:cs="Arial"/>
          <w:highlight w:val="green"/>
        </w:rPr>
      </w:pPr>
      <w:r w:rsidRPr="006A0835">
        <w:rPr>
          <w:rFonts w:ascii="Arial" w:hAnsi="Arial" w:cs="Arial"/>
          <w:highlight w:val="green"/>
        </w:rPr>
        <w:t>Observação levantada na Reunião n°0</w:t>
      </w:r>
      <w:r w:rsidR="00166230">
        <w:rPr>
          <w:rFonts w:ascii="Arial" w:hAnsi="Arial" w:cs="Arial"/>
          <w:highlight w:val="green"/>
        </w:rPr>
        <w:t>8</w:t>
      </w:r>
      <w:r w:rsidRPr="006A0835">
        <w:rPr>
          <w:rFonts w:ascii="Arial" w:hAnsi="Arial" w:cs="Arial"/>
          <w:highlight w:val="green"/>
        </w:rPr>
        <w:t>/2025 da CTINS/CERH: A supervisão financeira é função da SEFA e da SEDEST (SEMA à época), aplicando normas da área contábil e financeira tem previsão no Decreto, mas está apenas nos “</w:t>
      </w:r>
      <w:proofErr w:type="spellStart"/>
      <w:r w:rsidRPr="006A0835">
        <w:rPr>
          <w:rFonts w:ascii="Arial" w:hAnsi="Arial" w:cs="Arial"/>
          <w:highlight w:val="green"/>
        </w:rPr>
        <w:t>Considerandos</w:t>
      </w:r>
      <w:proofErr w:type="spellEnd"/>
      <w:r w:rsidRPr="006A0835">
        <w:rPr>
          <w:rFonts w:ascii="Arial" w:hAnsi="Arial" w:cs="Arial"/>
          <w:highlight w:val="green"/>
        </w:rPr>
        <w:t>” da Resolução. Sugestão de redação:</w:t>
      </w:r>
    </w:p>
    <w:p w14:paraId="1D1125EA" w14:textId="38489129" w:rsidR="006A0835" w:rsidRPr="006A0835" w:rsidRDefault="006A0835" w:rsidP="006A0835">
      <w:pPr>
        <w:jc w:val="both"/>
        <w:rPr>
          <w:rFonts w:ascii="Arial" w:hAnsi="Arial" w:cs="Arial"/>
        </w:rPr>
      </w:pPr>
      <w:r w:rsidRPr="006A0835">
        <w:rPr>
          <w:rFonts w:ascii="Arial" w:hAnsi="Arial" w:cs="Arial"/>
          <w:highlight w:val="green"/>
        </w:rPr>
        <w:t>“Art. X. A supervisão financeira do FRHI/PR será exercida pela Secretaria de Estado da Fazenda – SEFA e pela Secretaria de Estado do Desenvolvimento Sustentável – SEDEST, nos termos do art. 10 do Decreto nº 9.132/2010.”</w:t>
      </w:r>
    </w:p>
    <w:p w14:paraId="297C352F" w14:textId="77777777" w:rsidR="006A0835" w:rsidRPr="0033105D" w:rsidRDefault="006A0835" w:rsidP="0033105D">
      <w:pPr>
        <w:jc w:val="both"/>
        <w:rPr>
          <w:rFonts w:ascii="Arial" w:hAnsi="Arial" w:cs="Arial"/>
        </w:rPr>
      </w:pPr>
    </w:p>
    <w:p w14:paraId="07F3E074" w14:textId="77777777" w:rsidR="0033105D" w:rsidRPr="0033105D" w:rsidRDefault="0033105D" w:rsidP="0033105D">
      <w:pPr>
        <w:jc w:val="both"/>
        <w:rPr>
          <w:rFonts w:ascii="Arial" w:hAnsi="Arial" w:cs="Arial"/>
        </w:rPr>
      </w:pPr>
      <w:r w:rsidRPr="0033105D">
        <w:rPr>
          <w:rFonts w:ascii="Arial" w:hAnsi="Arial" w:cs="Arial"/>
        </w:rPr>
        <w:t>Art. 11. Esta Resolução Conjunta entra em vigor na data de sua publicação.</w:t>
      </w:r>
    </w:p>
    <w:p w14:paraId="31F6838E" w14:textId="77777777" w:rsidR="0033105D" w:rsidRPr="0033105D" w:rsidRDefault="0033105D" w:rsidP="0033105D">
      <w:pPr>
        <w:jc w:val="both"/>
        <w:rPr>
          <w:rFonts w:ascii="Arial" w:hAnsi="Arial" w:cs="Arial"/>
        </w:rPr>
      </w:pPr>
      <w:r w:rsidRPr="0033105D">
        <w:rPr>
          <w:rFonts w:ascii="Arial" w:hAnsi="Arial" w:cs="Arial"/>
        </w:rPr>
        <w:t>Curitiba, 19 de novembro de 2024.</w:t>
      </w:r>
    </w:p>
    <w:p w14:paraId="5921A804" w14:textId="77777777" w:rsidR="0033105D" w:rsidRPr="0033105D" w:rsidRDefault="0033105D" w:rsidP="0033105D">
      <w:pPr>
        <w:jc w:val="both"/>
        <w:rPr>
          <w:rFonts w:ascii="Arial" w:hAnsi="Arial" w:cs="Arial"/>
        </w:rPr>
      </w:pPr>
      <w:r w:rsidRPr="0033105D">
        <w:rPr>
          <w:rFonts w:ascii="Arial" w:hAnsi="Arial" w:cs="Arial"/>
        </w:rPr>
        <w:t>Everton Luiz da Costa Souza</w:t>
      </w:r>
    </w:p>
    <w:p w14:paraId="7B377B97" w14:textId="77777777" w:rsidR="0033105D" w:rsidRPr="0033105D" w:rsidRDefault="0033105D" w:rsidP="0033105D">
      <w:pPr>
        <w:jc w:val="both"/>
        <w:rPr>
          <w:rFonts w:ascii="Arial" w:hAnsi="Arial" w:cs="Arial"/>
        </w:rPr>
      </w:pPr>
      <w:r w:rsidRPr="0033105D">
        <w:rPr>
          <w:rFonts w:ascii="Arial" w:hAnsi="Arial" w:cs="Arial"/>
        </w:rPr>
        <w:t>Secretário de Estado do Desenvolvimento Sustentável</w:t>
      </w:r>
    </w:p>
    <w:p w14:paraId="1A8D3D67" w14:textId="77777777" w:rsidR="0033105D" w:rsidRPr="0033105D" w:rsidRDefault="0033105D" w:rsidP="0033105D">
      <w:pPr>
        <w:jc w:val="both"/>
        <w:rPr>
          <w:rFonts w:ascii="Arial" w:hAnsi="Arial" w:cs="Arial"/>
        </w:rPr>
      </w:pPr>
      <w:r w:rsidRPr="0033105D">
        <w:rPr>
          <w:rFonts w:ascii="Arial" w:hAnsi="Arial" w:cs="Arial"/>
        </w:rPr>
        <w:t>Norberto Anacleto Ortigara</w:t>
      </w:r>
    </w:p>
    <w:p w14:paraId="37796179" w14:textId="77777777" w:rsidR="0033105D" w:rsidRPr="0033105D" w:rsidRDefault="0033105D" w:rsidP="0033105D">
      <w:pPr>
        <w:jc w:val="both"/>
        <w:rPr>
          <w:rFonts w:ascii="Arial" w:hAnsi="Arial" w:cs="Arial"/>
        </w:rPr>
      </w:pPr>
      <w:r w:rsidRPr="0033105D">
        <w:rPr>
          <w:rFonts w:ascii="Arial" w:hAnsi="Arial" w:cs="Arial"/>
        </w:rPr>
        <w:t>Secretário de Estado da Fazenda</w:t>
      </w:r>
    </w:p>
    <w:p w14:paraId="469D3C9E" w14:textId="77777777" w:rsidR="0033105D" w:rsidRPr="0033105D" w:rsidRDefault="0033105D" w:rsidP="0033105D">
      <w:pPr>
        <w:jc w:val="both"/>
        <w:rPr>
          <w:rFonts w:ascii="Arial" w:hAnsi="Arial" w:cs="Arial"/>
        </w:rPr>
      </w:pPr>
      <w:r w:rsidRPr="0033105D">
        <w:rPr>
          <w:rFonts w:ascii="Arial" w:hAnsi="Arial" w:cs="Arial"/>
        </w:rPr>
        <w:t xml:space="preserve">José Luiz </w:t>
      </w:r>
      <w:proofErr w:type="spellStart"/>
      <w:r w:rsidRPr="0033105D">
        <w:rPr>
          <w:rFonts w:ascii="Arial" w:hAnsi="Arial" w:cs="Arial"/>
        </w:rPr>
        <w:t>Scroccaro</w:t>
      </w:r>
      <w:proofErr w:type="spellEnd"/>
    </w:p>
    <w:p w14:paraId="6ADA3023" w14:textId="649590E9" w:rsidR="0033105D" w:rsidRDefault="0033105D" w:rsidP="0033105D">
      <w:pPr>
        <w:jc w:val="both"/>
      </w:pPr>
      <w:r w:rsidRPr="0033105D">
        <w:rPr>
          <w:rFonts w:ascii="Arial" w:hAnsi="Arial" w:cs="Arial"/>
        </w:rPr>
        <w:t>Diretor Presidente do Instituto Água e Terra</w:t>
      </w:r>
    </w:p>
    <w:sectPr w:rsidR="0033105D" w:rsidSect="00712174">
      <w:pgSz w:w="11906" w:h="16838"/>
      <w:pgMar w:top="1701"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05D"/>
    <w:rsid w:val="00166230"/>
    <w:rsid w:val="00265DA8"/>
    <w:rsid w:val="0033105D"/>
    <w:rsid w:val="003446C5"/>
    <w:rsid w:val="00497739"/>
    <w:rsid w:val="0054362A"/>
    <w:rsid w:val="00566C1B"/>
    <w:rsid w:val="00605A45"/>
    <w:rsid w:val="006A0835"/>
    <w:rsid w:val="00712174"/>
    <w:rsid w:val="00B81242"/>
    <w:rsid w:val="00CB1008"/>
    <w:rsid w:val="00CB4111"/>
    <w:rsid w:val="00D131BA"/>
    <w:rsid w:val="00E377A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8FD20"/>
  <w15:chartTrackingRefBased/>
  <w15:docId w15:val="{23B00145-276C-4573-BA47-67DB8AED7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3310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3310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33105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33105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33105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33105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33105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33105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33105D"/>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33105D"/>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33105D"/>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33105D"/>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33105D"/>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33105D"/>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33105D"/>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33105D"/>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33105D"/>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33105D"/>
    <w:rPr>
      <w:rFonts w:eastAsiaTheme="majorEastAsia" w:cstheme="majorBidi"/>
      <w:color w:val="272727" w:themeColor="text1" w:themeTint="D8"/>
    </w:rPr>
  </w:style>
  <w:style w:type="paragraph" w:styleId="Ttulo">
    <w:name w:val="Title"/>
    <w:basedOn w:val="Normal"/>
    <w:next w:val="Normal"/>
    <w:link w:val="TtuloChar"/>
    <w:uiPriority w:val="10"/>
    <w:qFormat/>
    <w:rsid w:val="003310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33105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33105D"/>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33105D"/>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33105D"/>
    <w:pPr>
      <w:spacing w:before="160"/>
      <w:jc w:val="center"/>
    </w:pPr>
    <w:rPr>
      <w:i/>
      <w:iCs/>
      <w:color w:val="404040" w:themeColor="text1" w:themeTint="BF"/>
    </w:rPr>
  </w:style>
  <w:style w:type="character" w:customStyle="1" w:styleId="CitaoChar">
    <w:name w:val="Citação Char"/>
    <w:basedOn w:val="Fontepargpadro"/>
    <w:link w:val="Citao"/>
    <w:uiPriority w:val="29"/>
    <w:rsid w:val="0033105D"/>
    <w:rPr>
      <w:i/>
      <w:iCs/>
      <w:color w:val="404040" w:themeColor="text1" w:themeTint="BF"/>
    </w:rPr>
  </w:style>
  <w:style w:type="paragraph" w:styleId="PargrafodaLista">
    <w:name w:val="List Paragraph"/>
    <w:basedOn w:val="Normal"/>
    <w:uiPriority w:val="34"/>
    <w:qFormat/>
    <w:rsid w:val="0033105D"/>
    <w:pPr>
      <w:ind w:left="720"/>
      <w:contextualSpacing/>
    </w:pPr>
  </w:style>
  <w:style w:type="character" w:styleId="nfaseIntensa">
    <w:name w:val="Intense Emphasis"/>
    <w:basedOn w:val="Fontepargpadro"/>
    <w:uiPriority w:val="21"/>
    <w:qFormat/>
    <w:rsid w:val="0033105D"/>
    <w:rPr>
      <w:i/>
      <w:iCs/>
      <w:color w:val="0F4761" w:themeColor="accent1" w:themeShade="BF"/>
    </w:rPr>
  </w:style>
  <w:style w:type="paragraph" w:styleId="CitaoIntensa">
    <w:name w:val="Intense Quote"/>
    <w:basedOn w:val="Normal"/>
    <w:next w:val="Normal"/>
    <w:link w:val="CitaoIntensaChar"/>
    <w:uiPriority w:val="30"/>
    <w:qFormat/>
    <w:rsid w:val="003310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33105D"/>
    <w:rPr>
      <w:i/>
      <w:iCs/>
      <w:color w:val="0F4761" w:themeColor="accent1" w:themeShade="BF"/>
    </w:rPr>
  </w:style>
  <w:style w:type="character" w:styleId="RefernciaIntensa">
    <w:name w:val="Intense Reference"/>
    <w:basedOn w:val="Fontepargpadro"/>
    <w:uiPriority w:val="32"/>
    <w:qFormat/>
    <w:rsid w:val="0033105D"/>
    <w:rPr>
      <w:b/>
      <w:bCs/>
      <w:smallCaps/>
      <w:color w:val="0F4761" w:themeColor="accent1" w:themeShade="BF"/>
      <w:spacing w:val="5"/>
    </w:rPr>
  </w:style>
  <w:style w:type="character" w:styleId="Forte">
    <w:name w:val="Strong"/>
    <w:basedOn w:val="Fontepargpadro"/>
    <w:uiPriority w:val="22"/>
    <w:qFormat/>
    <w:rsid w:val="00D131B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1929</Words>
  <Characters>10421</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Justus da  Silveira</dc:creator>
  <cp:keywords/>
  <dc:description/>
  <cp:lastModifiedBy>Alex Justus da  Silveira</cp:lastModifiedBy>
  <cp:revision>2</cp:revision>
  <dcterms:created xsi:type="dcterms:W3CDTF">2025-11-26T13:55:00Z</dcterms:created>
  <dcterms:modified xsi:type="dcterms:W3CDTF">2025-11-26T13:55:00Z</dcterms:modified>
</cp:coreProperties>
</file>